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包头市抬板式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住宅规划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建设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管理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指导意见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（试行）</w:t>
      </w:r>
    </w:p>
    <w:p>
      <w:pPr>
        <w:jc w:val="center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为深入贯彻中央城市工作会议精神，顺应人民群众对美好生活的向往，增强城市洪涝灾害抵御能力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提升城市韧性、建设绿色生态城市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推动海绵城市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结合包头市城市建设实际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，规范抬板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住宅小区建设管理工作，特制定本指导意见。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抬板式住宅特点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抬板式住宅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整体抬升平台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将住宅、公共绿地与活动场地置于平台之上，下部空间集中设置车库、设备用房及配套设施，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人车分流、功能分层的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布局方式，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形成空间集约、环境整洁、居住品质更高的居住建筑形态。抬板平台的建筑基底面积占项目总用地面积的比例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不得小于50%（详见附图1）。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技术指标要求</w:t>
      </w: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（一）容积率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空间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(含平台以下的建筑楼座水平投影空间)可设置停车功能、包头市居住社区“5分钟生活圈”要求的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非盈利性公服设施、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及公共开放空间，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建筑面积可不计入规划条件（土地出让合同）约定的容积率，但需计入项目总建筑面积。</w:t>
      </w: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（二）抬板平台建筑高度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抬板平台结构层高不应超过4.5m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平台的防护栏杆、墙体等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上顶面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高于周边城市道路7.5m（详见附图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）。</w:t>
      </w: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（三）建筑密度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建筑密度为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范围内外建筑基底面积之和与用地面积的比值(详见附图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)。</w:t>
      </w: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（四）绿地率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抬板平台范围内、外绿地面积之和与项目用地面积的比值。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抬板平台范围以内的绿化区域，覆土深度不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小于1.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，住宅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附属的室外专属庭院不计入公共绿化面积和绿地率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（五）建筑高度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平台及其范围内、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的高度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平台范围以外的室外地坪为基准计算建筑高度。(详见附图4)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建筑位于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有限高要求的区域：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机场、电台、电信、微波通信、气象台、卫星地面站、军事要塞工程等设施的技术作业控制区及机场航线控制范围内时，应按净空要求控制建筑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顶点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高度及设备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顶点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高度，计算高度为抬板平台以上建筑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顶点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高度与抬板平台高度之和。</w:t>
      </w: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（六）建筑间距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抬板平台范围以内建筑之间的间距，以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抬板平台(含覆土)上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顶面作为室外地坪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计算建筑间距的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建筑高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，按现行城乡规划技术规定执行。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抬板平台范围以内建筑与范围以外建筑之间的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距，以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平台范围以外的室外地坪确定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计算建筑间距的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建筑高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，按现行城乡规划技术规定执行。(详见附图5)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抬板平台范围以外的建筑间距控制，按现行城乡规划技术规定执行。</w:t>
      </w:r>
    </w:p>
    <w:p>
      <w:pPr>
        <w:numPr>
          <w:ilvl w:val="0"/>
          <w:numId w:val="0"/>
        </w:numP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（七）建筑退让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抬板平台应集中设置，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计算退让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距离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平台及其范围内、外的建筑均以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平台范围外室外地坪计算建筑高度后，按现行城乡规划技术规定执行。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（八）公共服务及市政设施布置要求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利用抬板平台以下空间设置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包头市居住社区“5分钟生活圈”要求的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非盈利性公服设施、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及公共开放空间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应布置在交通便利、环境优美、采光通风条件良好的区域，同时满足现行城乡规划技术规定及相关规范要求。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养老用房、幼儿园、托育等公共服务设施不得布置在抬板平台以下空间；抬板平台以下空间设置商业及其他经营性用途空间时，应满足：空间进深尺寸≤12m，经营性空间建筑面积占比应满足规划条件相关要求。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新建住宅小区开闭所、配电房、备用发电机用房等供配电设施及用房设置应满足相关规范要求，不得设置在地势低洼和可能积水的场所，且场地高程应高于当地防涝设计高程。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（九）城市界面空间管控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沿城市界面及开放性社区道路应设置公共使用功能、公共开放空间或进行绿化景观处理，不得设置连续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实体墙面和玻璃幕墙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任意连续实体界面的长度占对应城市界面总长度的比例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小于50%，防护栏杆应采用透空式设计。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临抬板平台界面的防护栏与板边缘之间，应设置宽度不小于1.2m的绿化缓冲空间。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抬板平台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临近既有住宅界面，应协调相互关系，减少对既有住宅噪声、光线及视觉干扰等影响。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（十）抬板平台建筑停车出入口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抬板平台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范围以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内停车库出入口与基地内主要道路的距离不应小于5.5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，同时满足《车库建筑设计规范》JGJ100-2015中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规定要求。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（十一）停车管控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抬板平台上不得设置机动车停车位（消防、救援、装卸、应急保障等特殊车辆临时停放除外）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抬板平台范围以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内不得设置独立停车库,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抬板平台范围以外地面停车率不得超过10%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电动自行车停放场地应设置在抬板平台范围以外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机动车、非机动车设置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应符合《包头市建筑物配建停车位设计指导意见》相关要求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（十二）抬板平台场地出入口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通往抬板平台上的机动车坡道，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不得沿城市主干道布置、应在抬板平台范围内部布置。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坡道设置应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两条，且采用不同方向布置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坡道转弯半径、宽度等应符合消防车、应急救援车等应急车辆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满足《包头市建设工程设计方案技术审查指导意见》相关要求。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三、海绵城市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推进海绵城市建设，深入践行“自然积存、自然渗透、自然净化”的海绵城市发展理念，抬板平台式住宅小区应优先采用下沉式绿地、透水铺装、绿色屋顶等低影响开发设施，平台下方应配套设置雨水调蓄设施，系统提升场地雨水滞蓄、渗透与净化能力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四、其他事项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其他未尽事宜，均按照现行相关标准及规范执行。本标准适用于包头市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中心城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区范围内住宅小区抬板式建设项目的规划、建设和管理工作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外五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旗县区可参照本指导意见执行。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1701" w:right="1531" w:bottom="1474" w:left="153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本标准自发布之日起试行，由包头市自然资源局负责解释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jc w:val="both"/>
        <w:rPr>
          <w:rFonts w:hint="eastAsia" w:ascii="黑体" w:hAnsi="黑体" w:eastAsia="黑体" w:cs="黑体"/>
          <w:b w:val="0"/>
          <w:bCs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highlight w:val="none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相关说明及图示</w:t>
      </w:r>
    </w:p>
    <w:p>
      <w:pPr>
        <w:rPr>
          <w:highlight w:val="none"/>
        </w:rPr>
      </w:pPr>
    </w:p>
    <w:p>
      <w:pPr>
        <w:rPr>
          <w:rFonts w:hint="default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附图1：抬板平台示意图</w:t>
      </w:r>
    </w:p>
    <w:p>
      <w:p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4775200" cy="3041650"/>
            <wp:effectExtent l="0" t="0" r="0" b="0"/>
            <wp:docPr id="2" name="图片 1" descr="C:/Users/Administrator/Desktop/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1.jpg1"/>
                    <pic:cNvPicPr>
                      <a:picLocks noChangeAspect="1"/>
                    </pic:cNvPicPr>
                  </pic:nvPicPr>
                  <pic:blipFill>
                    <a:blip r:embed="rId6"/>
                    <a:srcRect l="7101" t="5748" r="833" b="574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附图2：抬板平台剖面示意图</w:t>
      </w:r>
    </w:p>
    <w:p>
      <w:pPr>
        <w:rPr>
          <w:highlight w:val="none"/>
        </w:rPr>
      </w:pPr>
    </w:p>
    <w:p>
      <w:p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4329430" cy="1499235"/>
            <wp:effectExtent l="0" t="0" r="0" b="0"/>
            <wp:docPr id="6" name="图片 5" descr="C:/Users/Administrator/Desktop/学习规范/天津考察报销及文件/附图/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/Users/Administrator/Desktop/学习规范/天津考察报销及文件/附图/333.jpg333"/>
                    <pic:cNvPicPr>
                      <a:picLocks noChangeAspect="1"/>
                    </pic:cNvPicPr>
                  </pic:nvPicPr>
                  <pic:blipFill>
                    <a:blip r:embed="rId7"/>
                    <a:srcRect l="10278" t="17738" b="60301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附图3：建筑密度示意图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085715" cy="2818765"/>
            <wp:effectExtent l="0" t="0" r="0" b="0"/>
            <wp:docPr id="8" name="图片 8" descr="C:/Users/Administrator/Desktop/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dministrator/Desktop/2.jpg2"/>
                    <pic:cNvPicPr>
                      <a:picLocks noChangeAspect="1"/>
                    </pic:cNvPicPr>
                  </pic:nvPicPr>
                  <pic:blipFill>
                    <a:blip r:embed="rId8"/>
                    <a:srcRect l="4109" t="4464" r="1334" b="5438"/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附图4：建筑高度示意图</w:t>
      </w:r>
    </w:p>
    <w:p>
      <w:pPr>
        <w:rPr>
          <w:rFonts w:hint="eastAsia"/>
          <w:highlight w:val="none"/>
        </w:rPr>
      </w:pPr>
      <w:r>
        <w:rPr>
          <w:highlight w:val="none"/>
        </w:rPr>
        <w:drawing>
          <wp:inline distT="0" distB="0" distL="114300" distR="114300">
            <wp:extent cx="5022215" cy="1869440"/>
            <wp:effectExtent l="0" t="0" r="0" b="0"/>
            <wp:docPr id="9" name="图片 2" descr="C:/Users/Administrator/Desktop/学习规范/天津考察报销及文件/附图/微信图片_20260310152406_925_213.jpg微信图片_20260310152406_925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C:/Users/Administrator/Desktop/学习规范/天津考察报销及文件/附图/微信图片_20260310152406_925_213.jpg微信图片_20260310152406_925_213"/>
                    <pic:cNvPicPr>
                      <a:picLocks noChangeAspect="1"/>
                    </pic:cNvPicPr>
                  </pic:nvPicPr>
                  <pic:blipFill>
                    <a:blip r:embed="rId9"/>
                    <a:srcRect l="1205" t="45664" r="3483" b="29256"/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附图5：建筑间距示意图</w:t>
      </w:r>
    </w:p>
    <w:p>
      <w:p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4861560" cy="1748155"/>
            <wp:effectExtent l="0" t="0" r="0" b="0"/>
            <wp:docPr id="10" name="图片 3" descr="C:/Users/Administrator/Desktop/学习规范/天津考察报销及文件/附图/微信图片_20260310152405_924_213.jpg微信图片_20260310152405_924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istrator/Desktop/学习规范/天津考察报销及文件/附图/微信图片_20260310152405_924_213.jpg微信图片_20260310152405_924_213"/>
                    <pic:cNvPicPr>
                      <a:picLocks noChangeAspect="1"/>
                    </pic:cNvPicPr>
                  </pic:nvPicPr>
                  <pic:blipFill>
                    <a:blip r:embed="rId10"/>
                    <a:srcRect t="47719" b="26860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抬板平台范围以内建筑间距L1以hl为计算基数;抬板平台范围以外建筑间距L2以h2为计算基数。</w:t>
      </w:r>
    </w:p>
    <w:sectPr>
      <w:footerReference r:id="rId4" w:type="default"/>
      <w:pgSz w:w="11906" w:h="16838"/>
      <w:pgMar w:top="1701" w:right="1531" w:bottom="147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altName w:val="方正书宋_GBK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77"/>
    <w:rsid w:val="002B7382"/>
    <w:rsid w:val="00454590"/>
    <w:rsid w:val="00633B77"/>
    <w:rsid w:val="00DA58AF"/>
    <w:rsid w:val="026268F8"/>
    <w:rsid w:val="02D40EF2"/>
    <w:rsid w:val="07C40FCD"/>
    <w:rsid w:val="086A5B0F"/>
    <w:rsid w:val="0D586184"/>
    <w:rsid w:val="0DCD59FD"/>
    <w:rsid w:val="0E00161A"/>
    <w:rsid w:val="0E001AC7"/>
    <w:rsid w:val="12655CC4"/>
    <w:rsid w:val="18D04B5E"/>
    <w:rsid w:val="191873C2"/>
    <w:rsid w:val="1A826A8E"/>
    <w:rsid w:val="1BEE30FE"/>
    <w:rsid w:val="1D330575"/>
    <w:rsid w:val="241F7259"/>
    <w:rsid w:val="275B2C20"/>
    <w:rsid w:val="287913FB"/>
    <w:rsid w:val="2A801147"/>
    <w:rsid w:val="2EA43279"/>
    <w:rsid w:val="35605BF1"/>
    <w:rsid w:val="38B33106"/>
    <w:rsid w:val="39184F8F"/>
    <w:rsid w:val="39D52E80"/>
    <w:rsid w:val="3B9B6B64"/>
    <w:rsid w:val="3C862210"/>
    <w:rsid w:val="3EEE7C48"/>
    <w:rsid w:val="3F4C685C"/>
    <w:rsid w:val="462A6302"/>
    <w:rsid w:val="499872CD"/>
    <w:rsid w:val="49B54134"/>
    <w:rsid w:val="4B5348D1"/>
    <w:rsid w:val="4DF322AC"/>
    <w:rsid w:val="51311E56"/>
    <w:rsid w:val="52FE197D"/>
    <w:rsid w:val="547E55F9"/>
    <w:rsid w:val="54AD2F91"/>
    <w:rsid w:val="5AA860C4"/>
    <w:rsid w:val="60307A7E"/>
    <w:rsid w:val="61341408"/>
    <w:rsid w:val="66E0683F"/>
    <w:rsid w:val="670342D9"/>
    <w:rsid w:val="682A0C50"/>
    <w:rsid w:val="68630DA0"/>
    <w:rsid w:val="6A0F6DB1"/>
    <w:rsid w:val="6A132A85"/>
    <w:rsid w:val="6E8B028E"/>
    <w:rsid w:val="7073657E"/>
    <w:rsid w:val="72104772"/>
    <w:rsid w:val="729B7E9A"/>
    <w:rsid w:val="737C1488"/>
    <w:rsid w:val="73904C8E"/>
    <w:rsid w:val="7495132E"/>
    <w:rsid w:val="753E3EFE"/>
    <w:rsid w:val="7BC907E8"/>
    <w:rsid w:val="7C99137B"/>
    <w:rsid w:val="F3FA1807"/>
    <w:rsid w:val="F7E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2339</Words>
  <Characters>2383</Characters>
  <Lines>13</Lines>
  <Paragraphs>3</Paragraphs>
  <TotalTime>24</TotalTime>
  <ScaleCrop>false</ScaleCrop>
  <LinksUpToDate>false</LinksUpToDate>
  <CharactersWithSpaces>2384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2026-01-14T23:16:00Z</dcterms:created>
  <dc:creator>Administrator</dc:creator>
  <cp:lastModifiedBy>李昕</cp:lastModifiedBy>
  <cp:lastPrinted>2026-04-03T23:09:00Z</cp:lastPrinted>
  <dcterms:modified xsi:type="dcterms:W3CDTF">2026-05-19T15:54:42Z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eyJoZGlkIjoiOGY4ZDFiYzEwZGIyYjM3OWQyNDkxOGQyYzJlODg0ZjIiLCJ1c2VySWQiOiI1MDI0NTQ1ODUifQ==</vt:lpwstr>
  </property>
  <property fmtid="{D5CDD505-2E9C-101B-9397-08002B2CF9AE}" pid="4" name="ICV">
    <vt:lpwstr>E21ACEFF91584CC88B75AAFD0333694F_13</vt:lpwstr>
  </property>
</Properties>
</file>