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方正小标宋_GBK"/>
          <w:sz w:val="40"/>
          <w:szCs w:val="48"/>
          <w:lang w:eastAsia="zh-CN"/>
        </w:rPr>
      </w:pPr>
      <w:r>
        <w:rPr>
          <w:rFonts w:hint="eastAsia" w:ascii="Times New Roman" w:hAnsi="Times New Roman" w:eastAsia="方正小标宋_GBK" w:cs="方正小标宋_GBK"/>
          <w:sz w:val="40"/>
          <w:szCs w:val="48"/>
          <w:lang w:eastAsia="zh-CN"/>
        </w:rPr>
        <w:t>包头市自然资源局</w:t>
      </w:r>
    </w:p>
    <w:p>
      <w:pPr>
        <w:jc w:val="center"/>
        <w:rPr>
          <w:rFonts w:hint="eastAsia" w:ascii="Times New Roman" w:hAnsi="Times New Roman" w:eastAsia="方正小标宋_GBK" w:cs="方正小标宋_GBK"/>
          <w:sz w:val="40"/>
          <w:szCs w:val="48"/>
          <w:lang w:eastAsia="zh-CN"/>
        </w:rPr>
      </w:pPr>
      <w:r>
        <w:rPr>
          <w:rFonts w:hint="eastAsia" w:ascii="Times New Roman" w:hAnsi="Times New Roman" w:eastAsia="方正小标宋_GBK" w:cs="方正小标宋_GBK"/>
          <w:sz w:val="40"/>
          <w:szCs w:val="48"/>
          <w:lang w:eastAsia="zh-CN"/>
        </w:rPr>
        <w:t>关于公布继续有效、失效的行政规范性文件目录的通知（征求意见稿）</w:t>
      </w:r>
    </w:p>
    <w:p>
      <w:pPr>
        <w:jc w:val="center"/>
        <w:rPr>
          <w:rFonts w:hint="eastAsia" w:ascii="Times New Roman" w:hAnsi="Times New Roman" w:eastAsia="方正小标宋_GBK" w:cs="方正小标宋_GBK"/>
          <w:sz w:val="40"/>
          <w:szCs w:val="48"/>
          <w:lang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局属各科室、单位，各旗县区局（分局）：</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根据《内蒙古自治区行政规范性文件管理办法》（内蒙古自治区政府令第262号），按照《包头市人民政府办公室关于开展行政规范性文件重点排查工作的通知》的要求，我局对以包头市自然资源局名义制发的继续有效的行政规范性文件进行了全面清理，现将清理结果予以公布。</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对于宣布失效的行政规范性文件，不再作为行政管理的依据，相关管理活动按照有关法律法规规章和政策规定执行。</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特此通知。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附件：</w:t>
      </w:r>
      <w:r>
        <w:rPr>
          <w:rFonts w:hint="eastAsia" w:ascii="Times New Roman" w:hAnsi="Times New Roman" w:eastAsia="仿宋_GB2312" w:cs="仿宋_GB2312"/>
          <w:sz w:val="32"/>
          <w:szCs w:val="32"/>
          <w:lang w:val="en-US" w:eastAsia="zh-CN"/>
        </w:rPr>
        <w:t>1.继续有效行政规范性文件目录</w:t>
      </w: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2.失效的行政规范性文件目录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包头市自然资源局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2026年1月7</w:t>
      </w:r>
      <w:bookmarkStart w:id="0" w:name="_GoBack"/>
      <w:bookmarkEnd w:id="0"/>
      <w:r>
        <w:rPr>
          <w:rFonts w:hint="eastAsia" w:ascii="Times New Roman" w:hAnsi="Times New Roman" w:eastAsia="仿宋_GB2312" w:cs="仿宋_GB2312"/>
          <w:sz w:val="32"/>
          <w:szCs w:val="32"/>
          <w:lang w:val="en-US" w:eastAsia="zh-CN"/>
        </w:rPr>
        <w:t>日</w:t>
      </w:r>
    </w:p>
    <w:p>
      <w:pPr>
        <w:jc w:val="left"/>
        <w:rPr>
          <w:rFonts w:hint="eastAsia" w:ascii="Times New Roman" w:hAnsi="Times New Roman" w:eastAsia="黑体" w:cs="黑体"/>
          <w:sz w:val="40"/>
          <w:szCs w:val="48"/>
          <w:lang w:val="en-US" w:eastAsia="zh-CN"/>
        </w:rPr>
      </w:pPr>
      <w:r>
        <w:rPr>
          <w:rFonts w:hint="eastAsia" w:ascii="Times New Roman" w:hAnsi="Times New Roman" w:eastAsia="仿宋_GB2312" w:cs="仿宋_GB2312"/>
          <w:sz w:val="40"/>
          <w:szCs w:val="48"/>
          <w:lang w:eastAsia="zh-CN"/>
        </w:rPr>
        <w:br w:type="page"/>
      </w: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vertAlign w:val="baseline"/>
          <w:lang w:val="en-US" w:eastAsia="zh-CN"/>
        </w:rPr>
      </w:pPr>
      <w:r>
        <w:rPr>
          <w:rFonts w:hint="eastAsia" w:ascii="Times New Roman" w:hAnsi="Times New Roman" w:eastAsia="方正小标宋_GBK" w:cs="方正小标宋_GBK"/>
          <w:sz w:val="44"/>
          <w:szCs w:val="44"/>
          <w:vertAlign w:val="baseline"/>
          <w:lang w:val="en-US" w:eastAsia="zh-CN"/>
        </w:rPr>
        <w:t>包头市自然资源局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仿宋_GB2312"/>
          <w:sz w:val="44"/>
          <w:szCs w:val="44"/>
          <w:vertAlign w:val="baseline"/>
          <w:lang w:val="en-US" w:eastAsia="zh-CN"/>
        </w:rPr>
      </w:pPr>
      <w:r>
        <w:rPr>
          <w:rFonts w:hint="eastAsia" w:ascii="Times New Roman" w:hAnsi="Times New Roman" w:eastAsia="方正小标宋_GBK" w:cs="方正小标宋_GBK"/>
          <w:sz w:val="44"/>
          <w:szCs w:val="44"/>
          <w:vertAlign w:val="baseline"/>
          <w:lang w:val="en-US" w:eastAsia="zh-CN"/>
        </w:rPr>
        <w:t>继续有效行政规范性文件目录</w:t>
      </w:r>
    </w:p>
    <w:tbl>
      <w:tblPr>
        <w:tblStyle w:val="9"/>
        <w:tblpPr w:leftFromText="180" w:rightFromText="180" w:vertAnchor="text" w:horzAnchor="page" w:tblpX="1792" w:tblpY="8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943"/>
        <w:gridCol w:w="1707"/>
        <w:gridCol w:w="1518"/>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序号</w:t>
            </w:r>
          </w:p>
        </w:tc>
        <w:tc>
          <w:tcPr>
            <w:tcW w:w="2943"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文件名称</w:t>
            </w:r>
          </w:p>
        </w:tc>
        <w:tc>
          <w:tcPr>
            <w:tcW w:w="1707"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发文字号</w:t>
            </w:r>
          </w:p>
        </w:tc>
        <w:tc>
          <w:tcPr>
            <w:tcW w:w="1518"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清理意见</w:t>
            </w:r>
          </w:p>
        </w:tc>
        <w:tc>
          <w:tcPr>
            <w:tcW w:w="1464"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起草科室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1</w:t>
            </w:r>
          </w:p>
        </w:tc>
        <w:tc>
          <w:tcPr>
            <w:tcW w:w="2943" w:type="dxa"/>
            <w:vAlign w:val="center"/>
          </w:tcPr>
          <w:p>
            <w:pPr>
              <w:pStyle w:val="7"/>
              <w:keepNext w:val="0"/>
              <w:keepLines w:val="0"/>
              <w:widowControl/>
              <w:suppressLineNumbers w:val="0"/>
              <w:spacing w:before="0" w:beforeAutospacing="0" w:after="0" w:afterAutospacing="0"/>
              <w:ind w:left="0" w:right="0" w:firstLine="0"/>
              <w:jc w:val="both"/>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包头市自然资源局关于印发《包头市自然资源局建设工程设计方案审查办事指南》的通知</w:t>
            </w:r>
          </w:p>
        </w:tc>
        <w:tc>
          <w:tcPr>
            <w:tcW w:w="1707" w:type="dxa"/>
            <w:vAlign w:val="center"/>
          </w:tcPr>
          <w:p>
            <w:pPr>
              <w:pStyle w:val="7"/>
              <w:keepNext w:val="0"/>
              <w:keepLines w:val="0"/>
              <w:widowControl/>
              <w:suppressLineNumbers w:val="0"/>
              <w:spacing w:before="0" w:beforeAutospacing="0" w:after="0" w:afterAutospacing="0"/>
              <w:ind w:left="0" w:right="0" w:firstLine="0"/>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包自然资发〔2024〕119号</w:t>
            </w:r>
          </w:p>
        </w:tc>
        <w:tc>
          <w:tcPr>
            <w:tcW w:w="1518"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继续有效</w:t>
            </w:r>
          </w:p>
        </w:tc>
        <w:tc>
          <w:tcPr>
            <w:tcW w:w="1464"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城市设计科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2</w:t>
            </w:r>
          </w:p>
        </w:tc>
        <w:tc>
          <w:tcPr>
            <w:tcW w:w="2943" w:type="dxa"/>
            <w:vAlign w:val="center"/>
          </w:tcPr>
          <w:p>
            <w:pPr>
              <w:pStyle w:val="7"/>
              <w:keepNext w:val="0"/>
              <w:keepLines w:val="0"/>
              <w:widowControl/>
              <w:suppressLineNumbers w:val="0"/>
              <w:spacing w:before="0" w:beforeAutospacing="0" w:after="0" w:afterAutospacing="0"/>
              <w:ind w:left="0" w:right="0" w:firstLine="0"/>
              <w:jc w:val="both"/>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包头市自然资源局关于印发《包头市城市道路红线宽度及平面交叉口范围、切角规划设计指导意见（试行）》的通知</w:t>
            </w:r>
          </w:p>
        </w:tc>
        <w:tc>
          <w:tcPr>
            <w:tcW w:w="1707"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包自然资发〔2025〕70号</w:t>
            </w:r>
          </w:p>
        </w:tc>
        <w:tc>
          <w:tcPr>
            <w:tcW w:w="1518"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继续有效</w:t>
            </w:r>
          </w:p>
        </w:tc>
        <w:tc>
          <w:tcPr>
            <w:tcW w:w="1464"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综合交通与市政设施科</w:t>
            </w:r>
          </w:p>
        </w:tc>
      </w:tr>
    </w:tbl>
    <w:p>
      <w:pPr>
        <w:jc w:val="left"/>
        <w:rPr>
          <w:rFonts w:hint="eastAsia" w:ascii="Times New Roman" w:hAnsi="Times New Roman" w:eastAsia="黑体" w:cs="黑体"/>
          <w:sz w:val="40"/>
          <w:szCs w:val="48"/>
          <w:lang w:val="en-US" w:eastAsia="zh-CN"/>
        </w:rPr>
      </w:pPr>
      <w:r>
        <w:rPr>
          <w:rFonts w:hint="default" w:ascii="Times New Roman" w:hAnsi="Times New Roman" w:eastAsia="仿宋_GB2312" w:cs="仿宋_GB2312"/>
          <w:sz w:val="40"/>
          <w:szCs w:val="48"/>
          <w:lang w:val="en-US" w:eastAsia="zh-CN"/>
        </w:rPr>
        <w:br w:type="page"/>
      </w:r>
      <w:r>
        <w:rPr>
          <w:rFonts w:hint="eastAsia" w:ascii="Times New Roman" w:hAnsi="Times New Roman" w:eastAsia="黑体" w:cs="黑体"/>
          <w:sz w:val="32"/>
          <w:szCs w:val="32"/>
          <w:lang w:eastAsia="zh-CN"/>
        </w:rPr>
        <w:t>附件</w:t>
      </w:r>
      <w:r>
        <w:rPr>
          <w:rFonts w:hint="default" w:ascii="Times New Roman" w:hAnsi="Times New Roman"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vertAlign w:val="baseline"/>
          <w:lang w:val="en-US" w:eastAsia="zh-CN"/>
        </w:rPr>
      </w:pPr>
      <w:r>
        <w:rPr>
          <w:rFonts w:hint="eastAsia" w:ascii="Times New Roman" w:hAnsi="Times New Roman" w:eastAsia="方正小标宋_GBK" w:cs="方正小标宋_GBK"/>
          <w:sz w:val="44"/>
          <w:szCs w:val="44"/>
          <w:vertAlign w:val="baseline"/>
          <w:lang w:val="en-US" w:eastAsia="zh-CN"/>
        </w:rPr>
        <w:t>包头市自然资源局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仿宋_GB2312"/>
          <w:sz w:val="44"/>
          <w:szCs w:val="44"/>
          <w:vertAlign w:val="baseline"/>
          <w:lang w:val="en-US" w:eastAsia="zh-CN"/>
        </w:rPr>
      </w:pPr>
      <w:r>
        <w:rPr>
          <w:rFonts w:hint="eastAsia" w:ascii="Times New Roman" w:hAnsi="Times New Roman" w:eastAsia="方正小标宋_GBK" w:cs="方正小标宋_GBK"/>
          <w:sz w:val="44"/>
          <w:szCs w:val="44"/>
          <w:vertAlign w:val="baseline"/>
          <w:lang w:val="en-US" w:eastAsia="zh-CN"/>
        </w:rPr>
        <w:t>失效行政规范性文件目录</w:t>
      </w:r>
    </w:p>
    <w:tbl>
      <w:tblPr>
        <w:tblStyle w:val="9"/>
        <w:tblpPr w:leftFromText="180" w:rightFromText="180" w:vertAnchor="text" w:horzAnchor="page" w:tblpX="1642" w:tblpY="1003"/>
        <w:tblOverlap w:val="never"/>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092"/>
        <w:gridCol w:w="1802"/>
        <w:gridCol w:w="1423"/>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序号</w:t>
            </w:r>
          </w:p>
        </w:tc>
        <w:tc>
          <w:tcPr>
            <w:tcW w:w="3092"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文件名称</w:t>
            </w:r>
          </w:p>
        </w:tc>
        <w:tc>
          <w:tcPr>
            <w:tcW w:w="1802"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发文字号</w:t>
            </w:r>
          </w:p>
        </w:tc>
        <w:tc>
          <w:tcPr>
            <w:tcW w:w="1423"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清理意见</w:t>
            </w:r>
          </w:p>
        </w:tc>
        <w:tc>
          <w:tcPr>
            <w:tcW w:w="1652"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起草科室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1</w:t>
            </w:r>
          </w:p>
        </w:tc>
        <w:tc>
          <w:tcPr>
            <w:tcW w:w="3092" w:type="dxa"/>
            <w:vAlign w:val="center"/>
          </w:tcPr>
          <w:p>
            <w:pPr>
              <w:pStyle w:val="7"/>
              <w:keepNext w:val="0"/>
              <w:keepLines w:val="0"/>
              <w:widowControl/>
              <w:suppressLineNumbers w:val="0"/>
              <w:spacing w:before="0" w:beforeAutospacing="0" w:after="0" w:afterAutospacing="0"/>
              <w:ind w:left="0" w:right="0" w:firstLine="0"/>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包头市自然资源局关于印发《</w:t>
            </w:r>
            <w:r>
              <w:rPr>
                <w:rFonts w:hint="eastAsia" w:ascii="Times New Roman" w:hAnsi="Times New Roman" w:eastAsia="方正仿宋_GBK" w:cs="方正仿宋_GBK"/>
                <w:sz w:val="28"/>
                <w:szCs w:val="28"/>
                <w:lang w:eastAsia="zh-CN"/>
              </w:rPr>
              <w:t>包头市自然资源局听证制度</w:t>
            </w:r>
            <w:r>
              <w:rPr>
                <w:rFonts w:hint="eastAsia" w:ascii="Times New Roman" w:hAnsi="Times New Roman" w:eastAsia="方正仿宋_GBK" w:cs="方正仿宋_GBK"/>
                <w:sz w:val="28"/>
                <w:szCs w:val="28"/>
              </w:rPr>
              <w:t>》的通知</w:t>
            </w:r>
          </w:p>
        </w:tc>
        <w:tc>
          <w:tcPr>
            <w:tcW w:w="1802" w:type="dxa"/>
            <w:vAlign w:val="center"/>
          </w:tcPr>
          <w:p>
            <w:pPr>
              <w:pStyle w:val="7"/>
              <w:keepNext w:val="0"/>
              <w:keepLines w:val="0"/>
              <w:widowControl/>
              <w:suppressLineNumbers w:val="0"/>
              <w:spacing w:before="0" w:beforeAutospacing="0" w:after="0" w:afterAutospacing="0"/>
              <w:ind w:left="0" w:right="0" w:firstLine="0"/>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包自然资发〔</w:t>
            </w:r>
            <w:r>
              <w:rPr>
                <w:rFonts w:hint="eastAsia" w:ascii="Times New Roman" w:hAnsi="Times New Roman" w:eastAsia="方正仿宋_GBK" w:cs="方正仿宋_GBK"/>
                <w:sz w:val="28"/>
                <w:szCs w:val="28"/>
                <w:lang w:val="en-US" w:eastAsia="zh-CN"/>
              </w:rPr>
              <w:t>2019</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z w:val="28"/>
                <w:szCs w:val="28"/>
                <w:lang w:val="en-US" w:eastAsia="zh-CN"/>
              </w:rPr>
              <w:t>121</w:t>
            </w:r>
            <w:r>
              <w:rPr>
                <w:rFonts w:hint="eastAsia" w:ascii="Times New Roman" w:hAnsi="Times New Roman" w:eastAsia="方正仿宋_GBK" w:cs="方正仿宋_GBK"/>
                <w:sz w:val="28"/>
                <w:szCs w:val="28"/>
              </w:rPr>
              <w:t>号</w:t>
            </w:r>
          </w:p>
        </w:tc>
        <w:tc>
          <w:tcPr>
            <w:tcW w:w="1423"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失效</w:t>
            </w:r>
          </w:p>
        </w:tc>
        <w:tc>
          <w:tcPr>
            <w:tcW w:w="1652"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2</w:t>
            </w:r>
          </w:p>
        </w:tc>
        <w:tc>
          <w:tcPr>
            <w:tcW w:w="3092" w:type="dxa"/>
            <w:vAlign w:val="center"/>
          </w:tcPr>
          <w:p>
            <w:pPr>
              <w:pStyle w:val="7"/>
              <w:keepNext w:val="0"/>
              <w:keepLines w:val="0"/>
              <w:widowControl/>
              <w:suppressLineNumbers w:val="0"/>
              <w:spacing w:before="0" w:beforeAutospacing="0" w:after="0" w:afterAutospacing="0"/>
              <w:ind w:left="0" w:right="0" w:firstLine="0"/>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包头市自然资源局关于印发《包头市城市地下地上空间建设用地使用权管理暂行办法》的通知</w:t>
            </w:r>
          </w:p>
        </w:tc>
        <w:tc>
          <w:tcPr>
            <w:tcW w:w="1802"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包自然资发〔2023〕117号</w:t>
            </w:r>
          </w:p>
        </w:tc>
        <w:tc>
          <w:tcPr>
            <w:tcW w:w="1423"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失效</w:t>
            </w:r>
          </w:p>
        </w:tc>
        <w:tc>
          <w:tcPr>
            <w:tcW w:w="1652"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自然资源调查利用中心</w:t>
            </w:r>
          </w:p>
        </w:tc>
      </w:tr>
    </w:tbl>
    <w:p>
      <w:pPr>
        <w:jc w:val="left"/>
        <w:rPr>
          <w:rFonts w:hint="default" w:ascii="Times New Roman" w:hAnsi="Times New Roman" w:eastAsia="仿宋_GB2312" w:cs="仿宋_GB2312"/>
          <w:sz w:val="40"/>
          <w:szCs w:val="48"/>
          <w:lang w:val="en-US" w:eastAsia="zh-CN"/>
        </w:rPr>
      </w:pPr>
    </w:p>
    <w:sectPr>
      <w:footerReference r:id="rId3" w:type="default"/>
      <w:pgSz w:w="11906" w:h="16838"/>
      <w:pgMar w:top="1701" w:right="1531" w:bottom="1474" w:left="1531" w:header="720"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s4h+BecBAADHAwAADgAAAAAAAAABACAAAAA0AQAAZHJzL2Uyb0RvYy54bWxQ&#10;SwUGAAAAAAYABgBZAQAAjQUAAAAA&#10;">
              <v:fill on="f" focussize="0,0"/>
              <v:stroke on="f"/>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E58DA"/>
    <w:rsid w:val="6DAAB1FC"/>
    <w:rsid w:val="7FF767AB"/>
    <w:rsid w:val="BE76F40B"/>
    <w:rsid w:val="EEB65E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默认段落字体1"/>
    <w:qFormat/>
    <w:uiPriority w:val="0"/>
  </w:style>
  <w:style w:type="paragraph" w:customStyle="1" w:styleId="12">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user</dc:creator>
  <cp:lastModifiedBy>陈立远</cp:lastModifiedBy>
  <dcterms:modified xsi:type="dcterms:W3CDTF">2026-01-27T11:18:32Z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988866278268ECCC9F2D7869178BF519</vt:lpwstr>
  </property>
</Properties>
</file>